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75"/>
        <w:gridCol w:w="9148"/>
      </w:tblGrid>
      <w:tr w:rsidR="00FF0E8B" w:rsidRPr="00E540A3" w:rsidTr="00BB37E9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FF0E8B" w:rsidRPr="00E540A3" w:rsidRDefault="00FF0E8B" w:rsidP="00BB37E9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684C8573" wp14:editId="5AA87A52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FF0E8B" w:rsidRPr="00E540A3" w:rsidRDefault="00FF0E8B" w:rsidP="00BB37E9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FF0E8B" w:rsidRPr="00E540A3" w:rsidRDefault="00FF0E8B" w:rsidP="00BB37E9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FF0E8B" w:rsidRPr="00E540A3" w:rsidRDefault="00FF0E8B" w:rsidP="00BB37E9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FF0E8B" w:rsidRPr="00E540A3" w:rsidRDefault="00FF0E8B" w:rsidP="00FF0E8B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C12ECE" w:rsidRPr="009F09F9" w:rsidRDefault="00FF0E8B" w:rsidP="009F09F9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FF0E8B" w:rsidRPr="00F510BC" w:rsidRDefault="00FF0E8B" w:rsidP="00FF0E8B"/>
    <w:p w:rsidR="00FF0E8B" w:rsidRPr="00456183" w:rsidRDefault="006E2BE4" w:rsidP="006E2BE4">
      <w:pPr>
        <w:jc w:val="center"/>
        <w:rPr>
          <w:b/>
          <w:iCs/>
        </w:rPr>
      </w:pPr>
      <w:r w:rsidRPr="00456183">
        <w:rPr>
          <w:b/>
          <w:iCs/>
        </w:rPr>
        <w:t>П</w:t>
      </w:r>
      <w:r w:rsidR="00FF0E8B" w:rsidRPr="00456183">
        <w:rPr>
          <w:b/>
          <w:iCs/>
        </w:rPr>
        <w:t>роект № BG05M2OP001-0001-5.001-0001 „Равен достъп до училищно образование в условията на кризи“</w:t>
      </w:r>
    </w:p>
    <w:p w:rsidR="00FF0E8B" w:rsidRPr="00456183" w:rsidRDefault="00FF0E8B" w:rsidP="00FF0E8B">
      <w:pPr>
        <w:jc w:val="center"/>
        <w:rPr>
          <w:b/>
          <w:bCs/>
        </w:rPr>
      </w:pPr>
    </w:p>
    <w:p w:rsidR="0089615C" w:rsidRPr="00456183" w:rsidRDefault="0089615C" w:rsidP="0089615C">
      <w:pPr>
        <w:rPr>
          <w:iCs/>
        </w:rPr>
      </w:pPr>
      <w:r w:rsidRPr="00456183">
        <w:rPr>
          <w:bCs/>
        </w:rPr>
        <w:t xml:space="preserve">     </w:t>
      </w:r>
      <w:r w:rsidR="006E2BE4" w:rsidRPr="00456183">
        <w:rPr>
          <w:b/>
          <w:bCs/>
        </w:rPr>
        <w:t xml:space="preserve">Професионална гимназия по </w:t>
      </w:r>
      <w:proofErr w:type="spellStart"/>
      <w:r w:rsidR="006E2BE4" w:rsidRPr="00456183">
        <w:rPr>
          <w:b/>
          <w:bCs/>
        </w:rPr>
        <w:t>електропромишленост</w:t>
      </w:r>
      <w:proofErr w:type="spellEnd"/>
      <w:r w:rsidR="006E2BE4" w:rsidRPr="00456183">
        <w:rPr>
          <w:b/>
          <w:bCs/>
        </w:rPr>
        <w:t xml:space="preserve"> и текстил „Захари Стоянов“</w:t>
      </w:r>
      <w:r w:rsidR="006E2BE4" w:rsidRPr="00456183">
        <w:rPr>
          <w:bCs/>
        </w:rPr>
        <w:t>, гр. Харманли е сред утвърдените</w:t>
      </w:r>
      <w:r w:rsidRPr="00456183">
        <w:rPr>
          <w:bCs/>
        </w:rPr>
        <w:t xml:space="preserve"> държавни училища, които да участват в техническото и финансовото изпълнение на дейностите и да извършват разходи по проект </w:t>
      </w:r>
      <w:r w:rsidRPr="00456183">
        <w:rPr>
          <w:iCs/>
        </w:rPr>
        <w:t>№ BG05M2OP001-0001-5.001-0001 „Равен достъп до училищно образование в условията на кризи“</w:t>
      </w:r>
      <w:r w:rsidRPr="00456183">
        <w:rPr>
          <w:iCs/>
        </w:rPr>
        <w:t>, с конкретен бенефициент МОН, осъществяван с финансовата подкрепа на Оперативна програма „Наука и образование за интелигентен растеж“ 2014 – 2020 г., съфинансирана от Европейския съюз чрез Европейските структурни и инвестиционни фондове. Дейностите по проекта ще се изпълняват до 31.12.2023 г.</w:t>
      </w:r>
    </w:p>
    <w:p w:rsidR="0089615C" w:rsidRPr="00456183" w:rsidRDefault="0089615C" w:rsidP="0089615C">
      <w:pPr>
        <w:rPr>
          <w:iCs/>
        </w:rPr>
      </w:pPr>
      <w:r w:rsidRPr="00456183">
        <w:rPr>
          <w:iCs/>
        </w:rPr>
        <w:t xml:space="preserve">     </w:t>
      </w:r>
      <w:r w:rsidRPr="00456183">
        <w:rPr>
          <w:b/>
          <w:iCs/>
        </w:rPr>
        <w:t>Основната це</w:t>
      </w:r>
      <w:r w:rsidRPr="00456183">
        <w:rPr>
          <w:iCs/>
        </w:rPr>
        <w:t>л на проекта е да не се допусне прекъсване на образователния процес и приобщаващото образование в условията на кризи, да се осигурят условия за ефективност на образованието, да се противодейства на риска от отпадане в ситуация на обучение от разстояние.</w:t>
      </w:r>
    </w:p>
    <w:p w:rsidR="004C6576" w:rsidRPr="00456183" w:rsidRDefault="004C6576" w:rsidP="0089615C">
      <w:pPr>
        <w:rPr>
          <w:iCs/>
        </w:rPr>
      </w:pPr>
      <w:r w:rsidRPr="00456183">
        <w:rPr>
          <w:iCs/>
        </w:rPr>
        <w:t xml:space="preserve">     </w:t>
      </w:r>
      <w:r w:rsidRPr="00456183">
        <w:rPr>
          <w:b/>
          <w:iCs/>
        </w:rPr>
        <w:t xml:space="preserve">Основните дейности </w:t>
      </w:r>
      <w:r w:rsidRPr="00456183">
        <w:rPr>
          <w:iCs/>
        </w:rPr>
        <w:t>по проекта са:</w:t>
      </w:r>
    </w:p>
    <w:p w:rsidR="004C6576" w:rsidRPr="00456183" w:rsidRDefault="004C6576" w:rsidP="004C6576">
      <w:pPr>
        <w:pStyle w:val="aa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456183">
        <w:rPr>
          <w:rFonts w:ascii="Times New Roman" w:hAnsi="Times New Roman"/>
          <w:b/>
          <w:iCs/>
          <w:sz w:val="24"/>
          <w:szCs w:val="24"/>
          <w:lang w:val="bg-BG"/>
        </w:rPr>
        <w:t xml:space="preserve">Дейност 1 </w:t>
      </w:r>
      <w:r w:rsidRPr="00456183">
        <w:rPr>
          <w:rFonts w:ascii="Times New Roman" w:hAnsi="Times New Roman"/>
          <w:b/>
          <w:iCs/>
          <w:sz w:val="24"/>
          <w:szCs w:val="24"/>
          <w:lang w:val="en-US"/>
        </w:rPr>
        <w:t xml:space="preserve">– </w:t>
      </w:r>
      <w:r w:rsidRPr="00456183">
        <w:rPr>
          <w:rFonts w:ascii="Times New Roman" w:hAnsi="Times New Roman"/>
          <w:iCs/>
          <w:sz w:val="24"/>
          <w:szCs w:val="24"/>
          <w:lang w:val="bg-BG"/>
        </w:rPr>
        <w:t>Закупуване на технически средства за педагогически специалисти и ученици за обезпечаване на образователния процес в условията на кризи</w:t>
      </w:r>
    </w:p>
    <w:p w:rsidR="004C6576" w:rsidRPr="00456183" w:rsidRDefault="004C6576" w:rsidP="004C6576">
      <w:pPr>
        <w:rPr>
          <w:iCs/>
        </w:rPr>
      </w:pPr>
      <w:r w:rsidRPr="00456183">
        <w:rPr>
          <w:iCs/>
        </w:rPr>
        <w:t>По тази дейност ПГЕТ „Захари Стоянов“ е получил:</w:t>
      </w:r>
    </w:p>
    <w:p w:rsidR="004C6576" w:rsidRPr="00456183" w:rsidRDefault="004C6576" w:rsidP="004C6576">
      <w:pPr>
        <w:pStyle w:val="aa"/>
        <w:numPr>
          <w:ilvl w:val="0"/>
          <w:numId w:val="10"/>
        </w:numPr>
        <w:rPr>
          <w:rFonts w:ascii="Times New Roman" w:hAnsi="Times New Roman"/>
          <w:iCs/>
          <w:sz w:val="24"/>
          <w:szCs w:val="24"/>
        </w:rPr>
      </w:pPr>
      <w:r w:rsidRPr="00456183">
        <w:rPr>
          <w:rFonts w:ascii="Times New Roman" w:hAnsi="Times New Roman"/>
          <w:iCs/>
          <w:sz w:val="24"/>
          <w:szCs w:val="24"/>
          <w:lang w:val="bg-BG"/>
        </w:rPr>
        <w:t>За педагогически специалисти</w:t>
      </w:r>
      <w:r w:rsidR="00456183" w:rsidRPr="00456183">
        <w:rPr>
          <w:rFonts w:ascii="Times New Roman" w:hAnsi="Times New Roman"/>
          <w:iCs/>
          <w:sz w:val="24"/>
          <w:szCs w:val="24"/>
          <w:lang w:val="bg-BG"/>
        </w:rPr>
        <w:t>:</w:t>
      </w:r>
      <w:r w:rsidRPr="00456183">
        <w:rPr>
          <w:rFonts w:ascii="Times New Roman" w:hAnsi="Times New Roman"/>
          <w:iCs/>
          <w:sz w:val="24"/>
          <w:szCs w:val="24"/>
          <w:lang w:val="bg-BG"/>
        </w:rPr>
        <w:t xml:space="preserve"> 7 лаптопа с </w:t>
      </w:r>
      <w:r w:rsidRPr="00456183">
        <w:rPr>
          <w:rFonts w:ascii="Times New Roman" w:hAnsi="Times New Roman"/>
          <w:iCs/>
          <w:sz w:val="24"/>
          <w:szCs w:val="24"/>
          <w:lang w:val="en-US"/>
        </w:rPr>
        <w:t>OC Windows</w:t>
      </w:r>
      <w:r w:rsidR="005649D2" w:rsidRPr="00456183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="005649D2" w:rsidRPr="00456183">
        <w:rPr>
          <w:rFonts w:ascii="Times New Roman" w:hAnsi="Times New Roman"/>
          <w:iCs/>
          <w:sz w:val="24"/>
          <w:szCs w:val="24"/>
          <w:lang w:val="en-US"/>
        </w:rPr>
        <w:t>Lenovo</w:t>
      </w:r>
    </w:p>
    <w:p w:rsidR="005649D2" w:rsidRPr="00456183" w:rsidRDefault="004C6576" w:rsidP="004C6576">
      <w:pPr>
        <w:pStyle w:val="aa"/>
        <w:numPr>
          <w:ilvl w:val="0"/>
          <w:numId w:val="10"/>
        </w:numPr>
        <w:rPr>
          <w:rFonts w:ascii="Times New Roman" w:hAnsi="Times New Roman"/>
          <w:iCs/>
          <w:sz w:val="24"/>
          <w:szCs w:val="24"/>
        </w:rPr>
      </w:pPr>
      <w:r w:rsidRPr="00456183">
        <w:rPr>
          <w:rFonts w:ascii="Times New Roman" w:hAnsi="Times New Roman"/>
          <w:iCs/>
          <w:sz w:val="24"/>
          <w:szCs w:val="24"/>
          <w:lang w:val="bg-BG"/>
        </w:rPr>
        <w:t>За ученици</w:t>
      </w:r>
      <w:r w:rsidR="005649D2" w:rsidRPr="00456183">
        <w:rPr>
          <w:rFonts w:ascii="Times New Roman" w:hAnsi="Times New Roman"/>
          <w:iCs/>
          <w:sz w:val="24"/>
          <w:szCs w:val="24"/>
          <w:lang w:val="en-US"/>
        </w:rPr>
        <w:t>&amp;</w:t>
      </w:r>
    </w:p>
    <w:p w:rsidR="005649D2" w:rsidRPr="00456183" w:rsidRDefault="005649D2" w:rsidP="005649D2">
      <w:pPr>
        <w:pStyle w:val="aa"/>
        <w:numPr>
          <w:ilvl w:val="0"/>
          <w:numId w:val="11"/>
        </w:numPr>
        <w:rPr>
          <w:rFonts w:ascii="Times New Roman" w:hAnsi="Times New Roman"/>
          <w:iCs/>
          <w:sz w:val="24"/>
          <w:szCs w:val="24"/>
        </w:rPr>
      </w:pPr>
      <w:r w:rsidRPr="00456183">
        <w:rPr>
          <w:rFonts w:ascii="Times New Roman" w:hAnsi="Times New Roman"/>
          <w:iCs/>
          <w:sz w:val="24"/>
          <w:szCs w:val="24"/>
        </w:rPr>
        <w:t xml:space="preserve">11 </w:t>
      </w:r>
      <w:proofErr w:type="spellStart"/>
      <w:r w:rsidRPr="00456183">
        <w:rPr>
          <w:rFonts w:ascii="Times New Roman" w:hAnsi="Times New Roman"/>
          <w:iCs/>
          <w:sz w:val="24"/>
          <w:szCs w:val="24"/>
        </w:rPr>
        <w:t>лаптопа</w:t>
      </w:r>
      <w:proofErr w:type="spellEnd"/>
      <w:r w:rsidRPr="00456183">
        <w:rPr>
          <w:rFonts w:ascii="Times New Roman" w:hAnsi="Times New Roman"/>
          <w:iCs/>
          <w:sz w:val="24"/>
          <w:szCs w:val="24"/>
        </w:rPr>
        <w:t xml:space="preserve"> с </w:t>
      </w:r>
      <w:r w:rsidRPr="00456183">
        <w:rPr>
          <w:rFonts w:ascii="Times New Roman" w:hAnsi="Times New Roman"/>
          <w:iCs/>
          <w:sz w:val="24"/>
          <w:szCs w:val="24"/>
          <w:lang w:val="en-US"/>
        </w:rPr>
        <w:t>OC Windows Dell Latitude</w:t>
      </w:r>
      <w:r w:rsidRPr="00456183">
        <w:rPr>
          <w:rFonts w:ascii="Times New Roman" w:hAnsi="Times New Roman"/>
          <w:iCs/>
          <w:sz w:val="24"/>
          <w:szCs w:val="24"/>
        </w:rPr>
        <w:t xml:space="preserve">; </w:t>
      </w:r>
    </w:p>
    <w:p w:rsidR="005649D2" w:rsidRPr="00456183" w:rsidRDefault="005649D2" w:rsidP="005649D2">
      <w:pPr>
        <w:pStyle w:val="aa"/>
        <w:numPr>
          <w:ilvl w:val="0"/>
          <w:numId w:val="11"/>
        </w:numPr>
        <w:rPr>
          <w:rFonts w:ascii="Times New Roman" w:hAnsi="Times New Roman"/>
          <w:iCs/>
          <w:sz w:val="24"/>
          <w:szCs w:val="24"/>
        </w:rPr>
      </w:pPr>
      <w:r w:rsidRPr="00456183">
        <w:rPr>
          <w:rFonts w:ascii="Times New Roman" w:hAnsi="Times New Roman"/>
          <w:iCs/>
          <w:sz w:val="24"/>
          <w:szCs w:val="24"/>
        </w:rPr>
        <w:t>10</w:t>
      </w:r>
      <w:r w:rsidRPr="0045618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56183">
        <w:rPr>
          <w:rFonts w:ascii="Times New Roman" w:hAnsi="Times New Roman"/>
          <w:iCs/>
          <w:sz w:val="24"/>
          <w:szCs w:val="24"/>
        </w:rPr>
        <w:t xml:space="preserve">лаптопа с </w:t>
      </w:r>
      <w:r w:rsidRPr="00456183">
        <w:rPr>
          <w:rFonts w:ascii="Times New Roman" w:hAnsi="Times New Roman"/>
          <w:iCs/>
          <w:sz w:val="24"/>
          <w:szCs w:val="24"/>
          <w:lang w:val="en-US"/>
        </w:rPr>
        <w:t>OC Chrome OS ACER</w:t>
      </w:r>
      <w:r w:rsidRPr="00456183">
        <w:rPr>
          <w:rFonts w:ascii="Times New Roman" w:hAnsi="Times New Roman"/>
          <w:iCs/>
          <w:sz w:val="24"/>
          <w:szCs w:val="24"/>
        </w:rPr>
        <w:t xml:space="preserve">; </w:t>
      </w:r>
    </w:p>
    <w:p w:rsidR="004C6576" w:rsidRPr="00456183" w:rsidRDefault="005649D2" w:rsidP="005649D2">
      <w:pPr>
        <w:pStyle w:val="aa"/>
        <w:numPr>
          <w:ilvl w:val="0"/>
          <w:numId w:val="11"/>
        </w:numPr>
        <w:rPr>
          <w:rFonts w:ascii="Times New Roman" w:hAnsi="Times New Roman"/>
          <w:iCs/>
          <w:sz w:val="24"/>
          <w:szCs w:val="24"/>
        </w:rPr>
      </w:pPr>
      <w:r w:rsidRPr="00456183">
        <w:rPr>
          <w:rFonts w:ascii="Times New Roman" w:hAnsi="Times New Roman"/>
          <w:iCs/>
          <w:sz w:val="24"/>
          <w:szCs w:val="24"/>
        </w:rPr>
        <w:t xml:space="preserve">6 </w:t>
      </w:r>
      <w:proofErr w:type="spellStart"/>
      <w:r w:rsidRPr="00456183">
        <w:rPr>
          <w:rFonts w:ascii="Times New Roman" w:hAnsi="Times New Roman"/>
          <w:iCs/>
          <w:sz w:val="24"/>
          <w:szCs w:val="24"/>
        </w:rPr>
        <w:t>таблета</w:t>
      </w:r>
      <w:proofErr w:type="spellEnd"/>
      <w:r w:rsidRPr="00456183">
        <w:rPr>
          <w:rFonts w:ascii="Times New Roman" w:hAnsi="Times New Roman"/>
          <w:iCs/>
          <w:sz w:val="24"/>
          <w:szCs w:val="24"/>
        </w:rPr>
        <w:t xml:space="preserve"> с </w:t>
      </w:r>
      <w:r w:rsidRPr="00456183">
        <w:rPr>
          <w:rFonts w:ascii="Times New Roman" w:hAnsi="Times New Roman"/>
          <w:iCs/>
          <w:sz w:val="24"/>
          <w:szCs w:val="24"/>
          <w:lang w:val="en-US"/>
        </w:rPr>
        <w:t>OC Android</w:t>
      </w:r>
    </w:p>
    <w:p w:rsidR="005649D2" w:rsidRPr="00456183" w:rsidRDefault="005649D2" w:rsidP="005649D2">
      <w:pPr>
        <w:pStyle w:val="aa"/>
        <w:numPr>
          <w:ilvl w:val="0"/>
          <w:numId w:val="12"/>
        </w:numPr>
        <w:rPr>
          <w:rFonts w:ascii="Times New Roman" w:hAnsi="Times New Roman"/>
          <w:iCs/>
          <w:sz w:val="24"/>
          <w:szCs w:val="24"/>
        </w:rPr>
      </w:pPr>
      <w:r w:rsidRPr="00456183">
        <w:rPr>
          <w:rFonts w:ascii="Times New Roman" w:hAnsi="Times New Roman"/>
          <w:iCs/>
          <w:sz w:val="24"/>
          <w:szCs w:val="24"/>
        </w:rPr>
        <w:t xml:space="preserve">1 </w:t>
      </w:r>
      <w:r w:rsidRPr="00456183">
        <w:rPr>
          <w:rFonts w:ascii="Times New Roman" w:hAnsi="Times New Roman"/>
          <w:iCs/>
          <w:sz w:val="24"/>
          <w:szCs w:val="24"/>
          <w:lang w:val="bg-BG"/>
        </w:rPr>
        <w:t>универсален шкаф за зареждане</w:t>
      </w:r>
    </w:p>
    <w:p w:rsidR="00456183" w:rsidRPr="00456183" w:rsidRDefault="00456183" w:rsidP="00456183">
      <w:pPr>
        <w:pStyle w:val="aa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456183">
        <w:rPr>
          <w:rFonts w:ascii="Times New Roman" w:hAnsi="Times New Roman"/>
          <w:b/>
          <w:iCs/>
          <w:sz w:val="24"/>
          <w:szCs w:val="24"/>
          <w:lang w:val="bg-BG"/>
        </w:rPr>
        <w:t xml:space="preserve">Дейност 2 </w:t>
      </w:r>
      <w:r w:rsidRPr="00456183">
        <w:rPr>
          <w:rFonts w:ascii="Times New Roman" w:hAnsi="Times New Roman"/>
          <w:iCs/>
          <w:sz w:val="24"/>
          <w:szCs w:val="24"/>
          <w:lang w:val="bg-BG"/>
        </w:rPr>
        <w:t>– Обучение на ученици, включително от уязвими групи за придобиване на умения за обучение от разстояние в електронна среда</w:t>
      </w:r>
    </w:p>
    <w:p w:rsidR="00456183" w:rsidRPr="00456183" w:rsidRDefault="00456183" w:rsidP="00456183">
      <w:pPr>
        <w:ind w:left="360"/>
        <w:rPr>
          <w:iCs/>
        </w:rPr>
      </w:pPr>
      <w:r w:rsidRPr="00456183">
        <w:rPr>
          <w:iCs/>
        </w:rPr>
        <w:t xml:space="preserve">През 2020/2021 </w:t>
      </w:r>
      <w:proofErr w:type="spellStart"/>
      <w:r w:rsidRPr="00456183">
        <w:rPr>
          <w:iCs/>
        </w:rPr>
        <w:t>уч</w:t>
      </w:r>
      <w:proofErr w:type="spellEnd"/>
      <w:r w:rsidRPr="00456183">
        <w:rPr>
          <w:iCs/>
        </w:rPr>
        <w:t xml:space="preserve">. </w:t>
      </w:r>
      <w:proofErr w:type="spellStart"/>
      <w:r w:rsidRPr="00456183">
        <w:rPr>
          <w:iCs/>
        </w:rPr>
        <w:t>год</w:t>
      </w:r>
      <w:proofErr w:type="spellEnd"/>
      <w:r w:rsidRPr="00456183">
        <w:rPr>
          <w:iCs/>
        </w:rPr>
        <w:t xml:space="preserve"> са обучени 25 ученици, групирани в пет групи.</w:t>
      </w:r>
    </w:p>
    <w:p w:rsidR="00456183" w:rsidRPr="00456183" w:rsidRDefault="00456183" w:rsidP="00456183">
      <w:pPr>
        <w:ind w:left="360"/>
        <w:rPr>
          <w:iCs/>
        </w:rPr>
      </w:pPr>
      <w:r w:rsidRPr="00456183">
        <w:rPr>
          <w:iCs/>
        </w:rPr>
        <w:t xml:space="preserve">През 2021/2022 </w:t>
      </w:r>
      <w:proofErr w:type="spellStart"/>
      <w:r w:rsidRPr="00456183">
        <w:rPr>
          <w:iCs/>
        </w:rPr>
        <w:t>уч</w:t>
      </w:r>
      <w:proofErr w:type="spellEnd"/>
      <w:r w:rsidRPr="00456183">
        <w:rPr>
          <w:iCs/>
        </w:rPr>
        <w:t>. год. също са обучени 25 ученици, групирани в пет групи.</w:t>
      </w:r>
    </w:p>
    <w:p w:rsidR="00456183" w:rsidRPr="00456183" w:rsidRDefault="00456183" w:rsidP="00456183">
      <w:pPr>
        <w:pStyle w:val="aa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456183">
        <w:rPr>
          <w:rFonts w:ascii="Times New Roman" w:hAnsi="Times New Roman"/>
          <w:b/>
          <w:iCs/>
          <w:sz w:val="24"/>
          <w:szCs w:val="24"/>
          <w:lang w:val="bg-BG"/>
        </w:rPr>
        <w:t xml:space="preserve">Дейност 3 – </w:t>
      </w:r>
      <w:r w:rsidRPr="00456183">
        <w:rPr>
          <w:rFonts w:ascii="Times New Roman" w:hAnsi="Times New Roman"/>
          <w:iCs/>
          <w:sz w:val="24"/>
          <w:szCs w:val="24"/>
          <w:lang w:val="bg-BG"/>
        </w:rPr>
        <w:t>Обучение на педагогически специалисти за усъвършенстване на уменията им за преподаване/провеждане на занимания от разстояние в електронна среда.</w:t>
      </w:r>
    </w:p>
    <w:p w:rsidR="00456183" w:rsidRPr="00456183" w:rsidRDefault="00456183" w:rsidP="00456183">
      <w:pPr>
        <w:pStyle w:val="aa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456183">
        <w:rPr>
          <w:rFonts w:ascii="Times New Roman" w:hAnsi="Times New Roman"/>
          <w:b/>
          <w:iCs/>
          <w:sz w:val="24"/>
          <w:szCs w:val="24"/>
          <w:lang w:val="bg-BG"/>
        </w:rPr>
        <w:t>Дейност 4 -</w:t>
      </w:r>
      <w:r w:rsidRPr="00456183">
        <w:rPr>
          <w:rFonts w:ascii="Times New Roman" w:hAnsi="Times New Roman"/>
          <w:b/>
          <w:iCs/>
          <w:sz w:val="24"/>
          <w:szCs w:val="24"/>
          <w:lang w:val="bg-BG"/>
        </w:rPr>
        <w:t xml:space="preserve"> </w:t>
      </w:r>
      <w:r w:rsidRPr="00456183">
        <w:rPr>
          <w:rFonts w:ascii="Times New Roman" w:hAnsi="Times New Roman"/>
          <w:iCs/>
          <w:sz w:val="24"/>
          <w:szCs w:val="24"/>
          <w:lang w:val="bg-BG"/>
        </w:rPr>
        <w:t xml:space="preserve">Обучение на образователни </w:t>
      </w:r>
      <w:proofErr w:type="spellStart"/>
      <w:r w:rsidRPr="00456183">
        <w:rPr>
          <w:rFonts w:ascii="Times New Roman" w:hAnsi="Times New Roman"/>
          <w:iCs/>
          <w:sz w:val="24"/>
          <w:szCs w:val="24"/>
          <w:lang w:val="bg-BG"/>
        </w:rPr>
        <w:t>медиатори</w:t>
      </w:r>
      <w:proofErr w:type="spellEnd"/>
      <w:r w:rsidRPr="00456183">
        <w:rPr>
          <w:rFonts w:ascii="Times New Roman" w:hAnsi="Times New Roman"/>
          <w:iCs/>
          <w:sz w:val="24"/>
          <w:szCs w:val="24"/>
          <w:lang w:val="bg-BG"/>
        </w:rPr>
        <w:t xml:space="preserve"> и родители за придобиване на умения за работа в електронна среда</w:t>
      </w:r>
      <w:r w:rsidRPr="00456183">
        <w:rPr>
          <w:rFonts w:ascii="Times New Roman" w:hAnsi="Times New Roman"/>
          <w:b/>
          <w:iCs/>
          <w:sz w:val="24"/>
          <w:szCs w:val="24"/>
          <w:lang w:val="bg-BG"/>
        </w:rPr>
        <w:t xml:space="preserve"> </w:t>
      </w:r>
    </w:p>
    <w:p w:rsidR="00456183" w:rsidRPr="00456183" w:rsidRDefault="00456183" w:rsidP="00456183">
      <w:pPr>
        <w:ind w:left="360"/>
        <w:rPr>
          <w:iCs/>
        </w:rPr>
      </w:pPr>
      <w:r w:rsidRPr="00456183">
        <w:rPr>
          <w:iCs/>
        </w:rPr>
        <w:t xml:space="preserve">По тази дейност родители ще бъдат обучени през 2022/2023 </w:t>
      </w:r>
      <w:proofErr w:type="spellStart"/>
      <w:r w:rsidRPr="00456183">
        <w:rPr>
          <w:iCs/>
        </w:rPr>
        <w:t>уч</w:t>
      </w:r>
      <w:proofErr w:type="spellEnd"/>
      <w:r w:rsidRPr="00456183">
        <w:rPr>
          <w:iCs/>
        </w:rPr>
        <w:t>. год.</w:t>
      </w:r>
    </w:p>
    <w:p w:rsidR="00FC646B" w:rsidRPr="000A5945" w:rsidRDefault="00456183" w:rsidP="000A5945">
      <w:pPr>
        <w:pStyle w:val="aa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456183">
        <w:rPr>
          <w:rFonts w:ascii="Times New Roman" w:hAnsi="Times New Roman"/>
          <w:b/>
          <w:iCs/>
          <w:sz w:val="24"/>
          <w:szCs w:val="24"/>
          <w:lang w:val="bg-BG"/>
        </w:rPr>
        <w:t xml:space="preserve">Дейност 5 – </w:t>
      </w:r>
      <w:r w:rsidRPr="00456183">
        <w:rPr>
          <w:rFonts w:ascii="Times New Roman" w:hAnsi="Times New Roman"/>
          <w:iCs/>
          <w:sz w:val="24"/>
          <w:szCs w:val="24"/>
          <w:lang w:val="bg-BG"/>
        </w:rPr>
        <w:t>Подкрепа за допълнително синхронно обучение от разстояние в електронна среда</w:t>
      </w:r>
      <w:bookmarkStart w:id="0" w:name="_GoBack"/>
      <w:bookmarkEnd w:id="0"/>
    </w:p>
    <w:sectPr w:rsidR="00FC646B" w:rsidRPr="000A5945" w:rsidSect="003D3228">
      <w:headerReference w:type="default" r:id="rId8"/>
      <w:footerReference w:type="default" r:id="rId9"/>
      <w:pgSz w:w="11906" w:h="16838"/>
      <w:pgMar w:top="2410" w:right="992" w:bottom="15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78" w:rsidRDefault="005C2278" w:rsidP="00C5450D">
      <w:r>
        <w:separator/>
      </w:r>
    </w:p>
  </w:endnote>
  <w:endnote w:type="continuationSeparator" w:id="0">
    <w:p w:rsidR="005C2278" w:rsidRDefault="005C227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a7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78" w:rsidRDefault="005C2278" w:rsidP="00C5450D">
      <w:r>
        <w:separator/>
      </w:r>
    </w:p>
  </w:footnote>
  <w:footnote w:type="continuationSeparator" w:id="0">
    <w:p w:rsidR="005C2278" w:rsidRDefault="005C227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C0F"/>
    <w:multiLevelType w:val="hybridMultilevel"/>
    <w:tmpl w:val="746850FA"/>
    <w:lvl w:ilvl="0" w:tplc="04020015">
      <w:start w:val="1"/>
      <w:numFmt w:val="upp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C4C96"/>
    <w:multiLevelType w:val="hybridMultilevel"/>
    <w:tmpl w:val="B63E03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77B"/>
    <w:multiLevelType w:val="hybridMultilevel"/>
    <w:tmpl w:val="FAB6ABE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474D"/>
    <w:multiLevelType w:val="hybridMultilevel"/>
    <w:tmpl w:val="2368B33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39FE"/>
    <w:multiLevelType w:val="hybridMultilevel"/>
    <w:tmpl w:val="56043848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4334"/>
    <w:multiLevelType w:val="hybridMultilevel"/>
    <w:tmpl w:val="9AE85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3477B"/>
    <w:multiLevelType w:val="hybridMultilevel"/>
    <w:tmpl w:val="E53E252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E63E0"/>
    <w:multiLevelType w:val="hybridMultilevel"/>
    <w:tmpl w:val="C1042F5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2D5DE6"/>
    <w:multiLevelType w:val="hybridMultilevel"/>
    <w:tmpl w:val="A78876E4"/>
    <w:lvl w:ilvl="0" w:tplc="58CAD7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64B9D"/>
    <w:multiLevelType w:val="hybridMultilevel"/>
    <w:tmpl w:val="F5FEC7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778A5"/>
    <w:multiLevelType w:val="hybridMultilevel"/>
    <w:tmpl w:val="632AD5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470DF"/>
    <w:rsid w:val="00047DDE"/>
    <w:rsid w:val="000611E2"/>
    <w:rsid w:val="00087410"/>
    <w:rsid w:val="000A5945"/>
    <w:rsid w:val="000B487A"/>
    <w:rsid w:val="000B7E9B"/>
    <w:rsid w:val="000D6D14"/>
    <w:rsid w:val="000F1A76"/>
    <w:rsid w:val="00127AB7"/>
    <w:rsid w:val="001728DB"/>
    <w:rsid w:val="00175B77"/>
    <w:rsid w:val="00181462"/>
    <w:rsid w:val="001F17C5"/>
    <w:rsid w:val="002058F1"/>
    <w:rsid w:val="00281C22"/>
    <w:rsid w:val="00282013"/>
    <w:rsid w:val="00285A16"/>
    <w:rsid w:val="002C32B4"/>
    <w:rsid w:val="002C5A74"/>
    <w:rsid w:val="003274A6"/>
    <w:rsid w:val="0033073F"/>
    <w:rsid w:val="003B246A"/>
    <w:rsid w:val="003D3228"/>
    <w:rsid w:val="003D5425"/>
    <w:rsid w:val="003F3D2C"/>
    <w:rsid w:val="004031DC"/>
    <w:rsid w:val="00437205"/>
    <w:rsid w:val="00456183"/>
    <w:rsid w:val="00476C8D"/>
    <w:rsid w:val="00497DDE"/>
    <w:rsid w:val="004A5300"/>
    <w:rsid w:val="004C6576"/>
    <w:rsid w:val="004C7BF5"/>
    <w:rsid w:val="004D597A"/>
    <w:rsid w:val="004E09B2"/>
    <w:rsid w:val="005201B8"/>
    <w:rsid w:val="0055707A"/>
    <w:rsid w:val="005649D2"/>
    <w:rsid w:val="005C2278"/>
    <w:rsid w:val="00600E80"/>
    <w:rsid w:val="0065193E"/>
    <w:rsid w:val="006A1CD5"/>
    <w:rsid w:val="006B7C00"/>
    <w:rsid w:val="006C78A5"/>
    <w:rsid w:val="006D79DD"/>
    <w:rsid w:val="006E2BE4"/>
    <w:rsid w:val="006E5325"/>
    <w:rsid w:val="006F3EE8"/>
    <w:rsid w:val="00713782"/>
    <w:rsid w:val="00720704"/>
    <w:rsid w:val="00760213"/>
    <w:rsid w:val="00760ED5"/>
    <w:rsid w:val="00761F88"/>
    <w:rsid w:val="007B50C4"/>
    <w:rsid w:val="00855E0C"/>
    <w:rsid w:val="008651F9"/>
    <w:rsid w:val="00872C1B"/>
    <w:rsid w:val="0089615C"/>
    <w:rsid w:val="008C51C1"/>
    <w:rsid w:val="00911B4E"/>
    <w:rsid w:val="009179FE"/>
    <w:rsid w:val="00954B1F"/>
    <w:rsid w:val="00957235"/>
    <w:rsid w:val="00965FDF"/>
    <w:rsid w:val="00976B7F"/>
    <w:rsid w:val="009A54D0"/>
    <w:rsid w:val="009D6F20"/>
    <w:rsid w:val="009F09F9"/>
    <w:rsid w:val="00A46BEF"/>
    <w:rsid w:val="00A50C8B"/>
    <w:rsid w:val="00B83454"/>
    <w:rsid w:val="00C12ECE"/>
    <w:rsid w:val="00C22F94"/>
    <w:rsid w:val="00C5450D"/>
    <w:rsid w:val="00CC2E7E"/>
    <w:rsid w:val="00D476D8"/>
    <w:rsid w:val="00D86F76"/>
    <w:rsid w:val="00EB5943"/>
    <w:rsid w:val="00F054D4"/>
    <w:rsid w:val="00F41CD1"/>
    <w:rsid w:val="00F510BC"/>
    <w:rsid w:val="00F57E8F"/>
    <w:rsid w:val="00FA675D"/>
    <w:rsid w:val="00FC646B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C2243"/>
  <w15:docId w15:val="{E7DF68CE-33F3-4CFA-BB2A-27B7735D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ab">
    <w:name w:val="Списък на абзаци Знак"/>
    <w:link w:val="aa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ac">
    <w:name w:val="Table Grid"/>
    <w:basedOn w:val="a1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497DDE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30">
    <w:name w:val="Основен текст 3 Знак"/>
    <w:basedOn w:val="a0"/>
    <w:link w:val="3"/>
    <w:rsid w:val="00497DDE"/>
    <w:rPr>
      <w:rFonts w:ascii="HebarU" w:hAnsi="HebarU"/>
      <w:sz w:val="16"/>
      <w:szCs w:val="16"/>
      <w:lang w:eastAsia="en-US"/>
    </w:rPr>
  </w:style>
  <w:style w:type="paragraph" w:styleId="ad">
    <w:name w:val="Body Text"/>
    <w:basedOn w:val="a"/>
    <w:link w:val="ae"/>
    <w:rsid w:val="00497DDE"/>
    <w:pPr>
      <w:spacing w:after="120"/>
    </w:pPr>
    <w:rPr>
      <w:rFonts w:ascii="HebarU" w:hAnsi="HebarU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497DDE"/>
    <w:rPr>
      <w:rFonts w:ascii="HebarU" w:hAnsi="HebarU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2603009: П Г Е Т "З.Стоянов" - Харманли</cp:lastModifiedBy>
  <cp:revision>3</cp:revision>
  <dcterms:created xsi:type="dcterms:W3CDTF">2022-07-18T15:30:00Z</dcterms:created>
  <dcterms:modified xsi:type="dcterms:W3CDTF">2022-07-18T16:01:00Z</dcterms:modified>
</cp:coreProperties>
</file>